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F020" w14:textId="1B5FF59E" w:rsidR="00F755A3" w:rsidRPr="00F755A3" w:rsidRDefault="00F755A3" w:rsidP="00F755A3">
      <w:pPr>
        <w:spacing w:after="0" w:line="615" w:lineRule="atLeast"/>
        <w:ind w:left="-30"/>
        <w:outlineLvl w:val="0"/>
        <w:rPr>
          <w:rFonts w:ascii="Noto Sans Devanagari" w:eastAsia="Times New Roman" w:hAnsi="Noto Sans Devanagari" w:cs="Noto Sans Devanagari"/>
          <w:b/>
          <w:bCs/>
          <w:kern w:val="36"/>
          <w:sz w:val="57"/>
          <w:szCs w:val="57"/>
          <w:lang w:eastAsia="ru-RU"/>
        </w:rPr>
      </w:pPr>
      <w:r w:rsidRPr="00F755A3">
        <w:rPr>
          <w:rFonts w:ascii="Noto Sans Devanagari" w:eastAsia="Times New Roman" w:hAnsi="Noto Sans Devanagari" w:cs="Noto Sans Devanagari"/>
          <w:b/>
          <w:bCs/>
          <w:kern w:val="36"/>
          <w:sz w:val="57"/>
          <w:szCs w:val="57"/>
          <w:lang w:eastAsia="ru-RU"/>
        </w:rPr>
        <w:t>6-</w:t>
      </w:r>
      <w:r w:rsidRPr="00F755A3">
        <w:rPr>
          <w:rFonts w:ascii="Calibri" w:eastAsia="Times New Roman" w:hAnsi="Calibri" w:cs="Calibri"/>
          <w:b/>
          <w:bCs/>
          <w:kern w:val="36"/>
          <w:sz w:val="57"/>
          <w:szCs w:val="57"/>
          <w:lang w:eastAsia="ru-RU"/>
        </w:rPr>
        <w:t>летнее</w:t>
      </w:r>
      <w:r w:rsidRPr="00F755A3">
        <w:rPr>
          <w:rFonts w:ascii="Noto Sans Devanagari" w:eastAsia="Times New Roman" w:hAnsi="Noto Sans Devanagari" w:cs="Noto Sans Devanagari"/>
          <w:b/>
          <w:bCs/>
          <w:kern w:val="36"/>
          <w:sz w:val="57"/>
          <w:szCs w:val="57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kern w:val="36"/>
          <w:sz w:val="57"/>
          <w:szCs w:val="57"/>
          <w:lang w:eastAsia="ru-RU"/>
        </w:rPr>
        <w:t>клиническое</w:t>
      </w:r>
      <w:r w:rsidRPr="00F755A3">
        <w:rPr>
          <w:rFonts w:ascii="Noto Sans Devanagari" w:eastAsia="Times New Roman" w:hAnsi="Noto Sans Devanagari" w:cs="Noto Sans Devanagari"/>
          <w:b/>
          <w:bCs/>
          <w:kern w:val="36"/>
          <w:sz w:val="57"/>
          <w:szCs w:val="57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kern w:val="36"/>
          <w:sz w:val="57"/>
          <w:szCs w:val="57"/>
          <w:lang w:eastAsia="ru-RU"/>
        </w:rPr>
        <w:t>исследование</w:t>
      </w:r>
      <w:r w:rsidRPr="00F755A3">
        <w:rPr>
          <w:rFonts w:ascii="Noto Sans Devanagari" w:eastAsia="Times New Roman" w:hAnsi="Noto Sans Devanagari" w:cs="Noto Sans Devanagari"/>
          <w:b/>
          <w:bCs/>
          <w:kern w:val="36"/>
          <w:sz w:val="57"/>
          <w:szCs w:val="57"/>
          <w:lang w:eastAsia="ru-RU"/>
        </w:rPr>
        <w:t xml:space="preserve"> </w:t>
      </w:r>
    </w:p>
    <w:p w14:paraId="317DADC1" w14:textId="77777777" w:rsidR="00F755A3" w:rsidRPr="00F755A3" w:rsidRDefault="00F755A3" w:rsidP="00F755A3">
      <w:pPr>
        <w:spacing w:before="60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мае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2022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представлены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результаты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клинических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использованию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очков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контроля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прогрессирования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миопии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проводившихся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течение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последовательных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лет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презентовали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сразу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двух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престижных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оптической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сфере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конференциях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:</w:t>
      </w:r>
    </w:p>
    <w:p w14:paraId="3D7F8C72" w14:textId="77777777" w:rsidR="00F755A3" w:rsidRPr="00F755A3" w:rsidRDefault="00F755A3" w:rsidP="00F755A3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Конференция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Ассоциации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исследованиям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зрения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офтальмологии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(ARVO)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Денвер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Колорадо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США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;</w:t>
      </w:r>
    </w:p>
    <w:p w14:paraId="613BC841" w14:textId="77777777" w:rsidR="00F755A3" w:rsidRPr="00F755A3" w:rsidRDefault="00F755A3" w:rsidP="00F755A3">
      <w:pPr>
        <w:numPr>
          <w:ilvl w:val="0"/>
          <w:numId w:val="1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Конференция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Европейской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академии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оптометрии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оптики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(EAOO),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проводимой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Дублин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Ирландия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4D7E5375" w14:textId="77777777" w:rsidR="00F755A3" w:rsidRPr="00F755A3" w:rsidRDefault="00F755A3" w:rsidP="00F7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55D64" wp14:editId="600ADA27">
            <wp:extent cx="6292850" cy="2829182"/>
            <wp:effectExtent l="0" t="0" r="0" b="9525"/>
            <wp:docPr id="7" name="Picture 4" descr="6-летнее клиническое исследование MiYOSMART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-летнее клиническое исследование MiYOSMART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08" cy="28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9449" w14:textId="77777777" w:rsidR="00F755A3" w:rsidRPr="00F755A3" w:rsidRDefault="00F755A3" w:rsidP="00F755A3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</w:pP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Зачем</w:t>
      </w:r>
      <w:r w:rsidRPr="00F755A3"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нужны</w:t>
      </w:r>
      <w:r w:rsidRPr="00F755A3"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подобные</w:t>
      </w:r>
      <w:r w:rsidRPr="00F755A3"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исследования</w:t>
      </w:r>
      <w:r w:rsidRPr="00F755A3"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  <w:t>?</w:t>
      </w:r>
    </w:p>
    <w:p w14:paraId="01C973C3" w14:textId="77777777" w:rsidR="00F755A3" w:rsidRPr="00F755A3" w:rsidRDefault="00F755A3" w:rsidP="00F755A3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Долгосрочные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клинические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необходимы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оценки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эффективности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безопасности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также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определения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возможных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отдаленных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рисков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лечения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которые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нельзя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заметить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течение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короткого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периода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времени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286ABF02" w14:textId="77777777" w:rsidR="00F755A3" w:rsidRPr="00F755A3" w:rsidRDefault="00F755A3" w:rsidP="00F755A3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данное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шестилетнее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технологией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множественных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дефокусных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сегментов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(D.I.M.S.)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является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самым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продолжительным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исследованием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очков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лечения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близорукости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222E7EEC" w14:textId="77777777" w:rsidR="00F755A3" w:rsidRPr="00F755A3" w:rsidRDefault="00F755A3" w:rsidP="00F755A3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</w:pP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lastRenderedPageBreak/>
        <w:t>О</w:t>
      </w:r>
      <w:r w:rsidRPr="00F755A3"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ходе</w:t>
      </w:r>
      <w:r w:rsidRPr="00F755A3"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исследования</w:t>
      </w:r>
    </w:p>
    <w:p w14:paraId="6CC7F5B4" w14:textId="77777777" w:rsidR="00F755A3" w:rsidRPr="00F755A3" w:rsidRDefault="00F755A3" w:rsidP="00F755A3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течение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лет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изучали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изменение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рефракции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аксиальной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длины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принимали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участие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которые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завершили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первые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два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клинического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4E29EFA7" w14:textId="77777777" w:rsidR="00F755A3" w:rsidRPr="00F755A3" w:rsidRDefault="00F755A3" w:rsidP="00F755A3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Все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участники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разделены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4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:</w:t>
      </w:r>
    </w:p>
    <w:p w14:paraId="39DBBDD9" w14:textId="77777777" w:rsidR="00F755A3" w:rsidRPr="00F755A3" w:rsidRDefault="00F755A3" w:rsidP="00F755A3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первой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все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лет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;</w:t>
      </w:r>
    </w:p>
    <w:p w14:paraId="3E0F020D" w14:textId="77777777" w:rsidR="00F755A3" w:rsidRPr="00F755A3" w:rsidRDefault="00F755A3" w:rsidP="00F755A3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второй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первые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3,5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после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чего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перешли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ношение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однофокальных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;</w:t>
      </w:r>
    </w:p>
    <w:p w14:paraId="60CE8CDB" w14:textId="77777777" w:rsidR="00F755A3" w:rsidRPr="00F755A3" w:rsidRDefault="00F755A3" w:rsidP="00F755A3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третьей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первые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2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контроля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однофокальные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gram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3-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его</w:t>
      </w:r>
      <w:proofErr w:type="gram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переведены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;</w:t>
      </w:r>
    </w:p>
    <w:p w14:paraId="6EFE891E" w14:textId="77777777" w:rsidR="00F755A3" w:rsidRPr="00F755A3" w:rsidRDefault="00F755A3" w:rsidP="00F755A3">
      <w:pPr>
        <w:numPr>
          <w:ilvl w:val="0"/>
          <w:numId w:val="2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четвертой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первые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2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контроля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затем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течение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gram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3-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его</w:t>
      </w:r>
      <w:proofErr w:type="gram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впоследствии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вновь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конца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6-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перешли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ношение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однофокальных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35DF42C1" w14:textId="77777777" w:rsidR="00F755A3" w:rsidRPr="00F755A3" w:rsidRDefault="00F755A3" w:rsidP="00F755A3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</w:pP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Результаты</w:t>
      </w:r>
      <w:r w:rsidRPr="00F755A3"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исследования</w:t>
      </w:r>
    </w:p>
    <w:p w14:paraId="5110AD85" w14:textId="77777777" w:rsidR="00F755A3" w:rsidRPr="00F755A3" w:rsidRDefault="00F755A3" w:rsidP="00F755A3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Через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лет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получены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данные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обследования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принимавших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участие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исследовании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90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:</w:t>
      </w:r>
    </w:p>
    <w:p w14:paraId="07DDA521" w14:textId="77777777" w:rsidR="00F755A3" w:rsidRPr="00F755A3" w:rsidRDefault="00F755A3" w:rsidP="00F755A3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b/>
          <w:bCs/>
          <w:sz w:val="29"/>
          <w:szCs w:val="29"/>
          <w:lang w:eastAsia="ru-RU"/>
        </w:rPr>
        <w:t>Группа</w:t>
      </w:r>
      <w:r w:rsidRPr="00F755A3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1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 (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все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лет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36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):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Среднее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изменение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рефракции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составило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-0.92 </w:t>
      </w:r>
      <w:r w:rsidRPr="00F755A3">
        <w:rPr>
          <w:rFonts w:ascii="PT Serif" w:eastAsia="Times New Roman" w:hAnsi="PT Serif" w:cs="PT Serif"/>
          <w:sz w:val="29"/>
          <w:szCs w:val="29"/>
          <w:lang w:eastAsia="ru-RU"/>
        </w:rPr>
        <w:t>±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1.15D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аксиальное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удлинение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(AL) 0.60 </w:t>
      </w:r>
      <w:r w:rsidRPr="00F755A3">
        <w:rPr>
          <w:rFonts w:ascii="PT Serif" w:eastAsia="Times New Roman" w:hAnsi="PT Serif" w:cs="PT Serif"/>
          <w:sz w:val="29"/>
          <w:szCs w:val="29"/>
          <w:lang w:eastAsia="ru-RU"/>
        </w:rPr>
        <w:t>±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0.49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Среднегодовое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изменение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0,15 D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0,10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5D14A659" w14:textId="77777777" w:rsidR="00F755A3" w:rsidRPr="00F755A3" w:rsidRDefault="00F755A3" w:rsidP="00F755A3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b/>
          <w:bCs/>
          <w:sz w:val="29"/>
          <w:szCs w:val="29"/>
          <w:lang w:eastAsia="ru-RU"/>
        </w:rPr>
        <w:t>Группа</w:t>
      </w:r>
      <w:r w:rsidRPr="00F755A3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2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 (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только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первые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3,5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14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):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период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между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3,5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годами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миопия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прогрессировала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сильнее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чем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1.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Средняя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разница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составила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0,2 D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0,07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7C3E897B" w14:textId="77777777" w:rsidR="00F755A3" w:rsidRPr="00F755A3" w:rsidRDefault="00F755A3" w:rsidP="00F755A3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b/>
          <w:bCs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b/>
          <w:bCs/>
          <w:sz w:val="29"/>
          <w:szCs w:val="29"/>
          <w:lang w:eastAsia="ru-RU"/>
        </w:rPr>
        <w:t>группах</w:t>
      </w:r>
      <w:r w:rsidRPr="00F755A3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3 </w:t>
      </w:r>
      <w:r w:rsidRPr="00F755A3">
        <w:rPr>
          <w:rFonts w:ascii="Calibri" w:eastAsia="Times New Roman" w:hAnsi="Calibri" w:cs="Calibri"/>
          <w:b/>
          <w:bCs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4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 (22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18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соответственно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),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которых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первые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2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однофокальные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после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чего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переведены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скорость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прогрессирования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миопии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аксиального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удлинения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уменьшилась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после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перехода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lastRenderedPageBreak/>
        <w:t>из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группы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4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миопия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прогрессировала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быстрее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после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того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как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они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перестали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носить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3,5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лет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).</w:t>
      </w:r>
    </w:p>
    <w:p w14:paraId="062D3C22" w14:textId="77777777" w:rsidR="00F755A3" w:rsidRPr="00F755A3" w:rsidRDefault="00F755A3" w:rsidP="00F7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6BC2C3" wp14:editId="7CBF9906">
            <wp:extent cx="5854700" cy="3295083"/>
            <wp:effectExtent l="0" t="0" r="0" b="635"/>
            <wp:docPr id="5" name="Picture 5" descr="6-летнее клиническое исследование MiYOSMART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-летнее клиническое исследование MiYOSMART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311" cy="33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EFD" w14:textId="77777777" w:rsidR="00F755A3" w:rsidRPr="00F755A3" w:rsidRDefault="00F755A3" w:rsidP="00F755A3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Noto Sans Devanagari"/>
          <w:b/>
          <w:bCs/>
          <w:sz w:val="36"/>
          <w:szCs w:val="36"/>
          <w:lang w:eastAsia="ru-RU"/>
        </w:rPr>
      </w:pPr>
      <w:r w:rsidRPr="00F755A3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Заключение</w:t>
      </w:r>
    </w:p>
    <w:p w14:paraId="164240F3" w14:textId="77777777" w:rsidR="00F755A3" w:rsidRPr="00F755A3" w:rsidRDefault="00F755A3" w:rsidP="00F755A3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продолжили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оказывать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влияние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замедление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прогрессирования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миопии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аксиального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удлинения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с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миопией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протяжении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6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лет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06C2773C" w14:textId="77777777" w:rsidR="00F755A3" w:rsidRPr="00F755A3" w:rsidRDefault="00F755A3" w:rsidP="00F755A3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Когда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перестали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носить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перешли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ношение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однофокальных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миопия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них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прогрессировала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быстрее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чем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у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детей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которые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продолжали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носить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F755A3">
        <w:rPr>
          <w:rFonts w:ascii="Calibri" w:eastAsia="Times New Roman" w:hAnsi="Calibri" w:cs="Calibri"/>
          <w:sz w:val="29"/>
          <w:szCs w:val="29"/>
          <w:lang w:eastAsia="ru-RU"/>
        </w:rPr>
        <w:t>линзы</w:t>
      </w:r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proofErr w:type="spellStart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MiYOSMART</w:t>
      </w:r>
      <w:proofErr w:type="spellEnd"/>
      <w:r w:rsidRPr="00F755A3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6D64DAD0" w14:textId="77777777" w:rsidR="00F755A3" w:rsidRPr="00F755A3" w:rsidRDefault="00F755A3" w:rsidP="00F7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C2EE76" wp14:editId="3A072507">
            <wp:extent cx="6210300" cy="3495218"/>
            <wp:effectExtent l="0" t="0" r="0" b="0"/>
            <wp:docPr id="6" name="Picture 6" descr="Линза MiYOSMART с технологией множественных дефокусных сегментов (D.I.M.S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нза MiYOSMART с технологией множественных дефокусных сегментов (D.I.M.S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28" cy="350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6D152" w14:textId="512B493C" w:rsidR="00B166BD" w:rsidRDefault="00F755A3" w:rsidP="00F755A3">
      <w:r w:rsidRPr="00F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Линза </w:t>
      </w:r>
      <w:proofErr w:type="spellStart"/>
      <w:r w:rsidRPr="00F755A3">
        <w:rPr>
          <w:rFonts w:ascii="Times New Roman" w:eastAsia="Times New Roman" w:hAnsi="Times New Roman" w:cs="Times New Roman"/>
          <w:sz w:val="24"/>
          <w:szCs w:val="24"/>
          <w:lang w:eastAsia="ru-RU"/>
        </w:rPr>
        <w:t>MiYOSMART</w:t>
      </w:r>
      <w:proofErr w:type="spellEnd"/>
      <w:r w:rsidRPr="00F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технологией множественных </w:t>
      </w:r>
      <w:proofErr w:type="spellStart"/>
      <w:r w:rsidRPr="00F7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дефокусных</w:t>
      </w:r>
      <w:proofErr w:type="spellEnd"/>
      <w:r w:rsidRPr="00F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сегментов (D.I.M.S.)</w:t>
      </w:r>
    </w:p>
    <w:sectPr w:rsidR="00B1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4CFC"/>
    <w:multiLevelType w:val="multilevel"/>
    <w:tmpl w:val="5072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83418"/>
    <w:multiLevelType w:val="multilevel"/>
    <w:tmpl w:val="8DA4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885811">
    <w:abstractNumId w:val="0"/>
  </w:num>
  <w:num w:numId="2" w16cid:durableId="116590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A3"/>
    <w:rsid w:val="00B166BD"/>
    <w:rsid w:val="00F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3854"/>
  <w15:chartTrackingRefBased/>
  <w15:docId w15:val="{479096A1-56EC-469D-A513-ACACB62D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DYADINA Uliana</dc:creator>
  <cp:keywords/>
  <dc:description/>
  <cp:lastModifiedBy>DYADINA Uliana</cp:lastModifiedBy>
  <cp:revision>1</cp:revision>
  <dcterms:created xsi:type="dcterms:W3CDTF">2022-10-12T08:36:00Z</dcterms:created>
  <dcterms:modified xsi:type="dcterms:W3CDTF">2022-10-12T08:38:00Z</dcterms:modified>
</cp:coreProperties>
</file>